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9"/>
      </w:tblGrid>
      <w:tr w:rsidR="00832322" w:rsidTr="004E42C3">
        <w:trPr>
          <w:trHeight w:val="700"/>
        </w:trPr>
        <w:tc>
          <w:tcPr>
            <w:tcW w:w="10089" w:type="dxa"/>
            <w:shd w:val="clear" w:color="auto" w:fill="0D3349"/>
            <w:tcMar>
              <w:top w:w="80" w:type="dxa"/>
              <w:left w:w="140" w:type="dxa"/>
              <w:bottom w:w="80" w:type="dxa"/>
              <w:right w:w="140" w:type="dxa"/>
            </w:tcMar>
          </w:tcPr>
          <w:p w:rsidR="00832322" w:rsidRDefault="00832322" w:rsidP="00757244">
            <w:pPr>
              <w:spacing w:before="160" w:after="60" w:line="276" w:lineRule="auto"/>
              <w:jc w:val="center"/>
            </w:pPr>
            <w:r>
              <w:rPr>
                <w:rFonts w:ascii="Calibri" w:eastAsia="Calibri" w:hAnsi="Calibri" w:cs="Calibri"/>
                <w:b/>
                <w:bCs/>
                <w:color w:val="FFFFFF"/>
                <w:sz w:val="30"/>
                <w:szCs w:val="30"/>
              </w:rPr>
              <w:t>COMMUNIQUÉ DE PRESSE</w:t>
            </w:r>
          </w:p>
        </w:tc>
      </w:tr>
      <w:tr w:rsidR="00832322" w:rsidTr="004E42C3">
        <w:trPr>
          <w:trHeight w:val="423"/>
        </w:trPr>
        <w:tc>
          <w:tcPr>
            <w:tcW w:w="10089" w:type="dxa"/>
            <w:shd w:val="clear" w:color="auto" w:fill="1A5276"/>
            <w:tcMar>
              <w:top w:w="80" w:type="dxa"/>
              <w:left w:w="140" w:type="dxa"/>
              <w:bottom w:w="80" w:type="dxa"/>
              <w:right w:w="140" w:type="dxa"/>
            </w:tcMar>
          </w:tcPr>
          <w:p w:rsidR="00832322" w:rsidRDefault="00832322" w:rsidP="00757244">
            <w:pPr>
              <w:spacing w:before="60" w:after="60" w:line="276" w:lineRule="auto"/>
              <w:jc w:val="center"/>
            </w:pPr>
            <w:r>
              <w:rPr>
                <w:rFonts w:ascii="Calibri" w:eastAsia="Calibri" w:hAnsi="Calibri" w:cs="Calibri"/>
                <w:b/>
                <w:bCs/>
                <w:color w:val="AED6F1"/>
                <w:sz w:val="19"/>
                <w:szCs w:val="19"/>
              </w:rPr>
              <w:t>Institut de Recherche sur le Cancer (IRC) — C</w:t>
            </w:r>
            <w:r w:rsidR="00ED06E6">
              <w:rPr>
                <w:rFonts w:ascii="Calibri" w:eastAsia="Calibri" w:hAnsi="Calibri" w:cs="Calibri"/>
                <w:b/>
                <w:bCs/>
                <w:color w:val="AED6F1"/>
                <w:sz w:val="19"/>
                <w:szCs w:val="19"/>
              </w:rPr>
              <w:t xml:space="preserve">omité </w:t>
            </w:r>
            <w:r w:rsidR="002E578C">
              <w:rPr>
                <w:rFonts w:ascii="Calibri" w:eastAsia="Calibri" w:hAnsi="Calibri" w:cs="Calibri"/>
                <w:b/>
                <w:bCs/>
                <w:color w:val="AED6F1"/>
                <w:sz w:val="19"/>
                <w:szCs w:val="19"/>
              </w:rPr>
              <w:t>d'</w:t>
            </w:r>
            <w:r>
              <w:rPr>
                <w:rFonts w:ascii="Calibri" w:eastAsia="Calibri" w:hAnsi="Calibri" w:cs="Calibri"/>
                <w:b/>
                <w:bCs/>
                <w:color w:val="AED6F1"/>
                <w:sz w:val="19"/>
                <w:szCs w:val="19"/>
              </w:rPr>
              <w:t>E</w:t>
            </w:r>
            <w:r w:rsidR="002E578C">
              <w:rPr>
                <w:rFonts w:ascii="Calibri" w:eastAsia="Calibri" w:hAnsi="Calibri" w:cs="Calibri"/>
                <w:b/>
                <w:bCs/>
                <w:color w:val="AED6F1"/>
                <w:sz w:val="19"/>
                <w:szCs w:val="19"/>
              </w:rPr>
              <w:t xml:space="preserve">thique pour la </w:t>
            </w:r>
            <w:r>
              <w:rPr>
                <w:rFonts w:ascii="Calibri" w:eastAsia="Calibri" w:hAnsi="Calibri" w:cs="Calibri"/>
                <w:b/>
                <w:bCs/>
                <w:color w:val="AED6F1"/>
                <w:sz w:val="19"/>
                <w:szCs w:val="19"/>
              </w:rPr>
              <w:t>R</w:t>
            </w:r>
            <w:r w:rsidR="002E578C">
              <w:rPr>
                <w:rFonts w:ascii="Calibri" w:eastAsia="Calibri" w:hAnsi="Calibri" w:cs="Calibri"/>
                <w:b/>
                <w:bCs/>
                <w:color w:val="AED6F1"/>
                <w:sz w:val="19"/>
                <w:szCs w:val="19"/>
              </w:rPr>
              <w:t xml:space="preserve">echerche en </w:t>
            </w:r>
            <w:r>
              <w:rPr>
                <w:rFonts w:ascii="Calibri" w:eastAsia="Calibri" w:hAnsi="Calibri" w:cs="Calibri"/>
                <w:b/>
                <w:bCs/>
                <w:color w:val="AED6F1"/>
                <w:sz w:val="19"/>
                <w:szCs w:val="19"/>
              </w:rPr>
              <w:t>O</w:t>
            </w:r>
            <w:r w:rsidR="002E578C">
              <w:rPr>
                <w:rFonts w:ascii="Calibri" w:eastAsia="Calibri" w:hAnsi="Calibri" w:cs="Calibri"/>
                <w:b/>
                <w:bCs/>
                <w:color w:val="AED6F1"/>
                <w:sz w:val="19"/>
                <w:szCs w:val="19"/>
              </w:rPr>
              <w:t>ncologie</w:t>
            </w:r>
          </w:p>
        </w:tc>
      </w:tr>
    </w:tbl>
    <w:p w:rsidR="00832322" w:rsidRDefault="00832322" w:rsidP="00BC5FA6">
      <w:pPr>
        <w:spacing w:before="80" w:after="60" w:line="276" w:lineRule="auto"/>
        <w:jc w:val="center"/>
      </w:pPr>
      <w:r>
        <w:rPr>
          <w:rFonts w:ascii="Calibri" w:eastAsia="Calibri" w:hAnsi="Calibri" w:cs="Calibri"/>
          <w:b/>
          <w:bCs/>
          <w:color w:val="0D3349"/>
          <w:sz w:val="27"/>
          <w:szCs w:val="27"/>
        </w:rPr>
        <w:t xml:space="preserve">L'IRC-CERO </w:t>
      </w:r>
      <w:r w:rsidR="00E54E66">
        <w:rPr>
          <w:rFonts w:ascii="Calibri" w:eastAsia="Calibri" w:hAnsi="Calibri" w:cs="Calibri"/>
          <w:b/>
          <w:bCs/>
          <w:color w:val="0D3349"/>
          <w:sz w:val="27"/>
          <w:szCs w:val="27"/>
        </w:rPr>
        <w:t xml:space="preserve">a </w:t>
      </w:r>
      <w:r>
        <w:rPr>
          <w:rFonts w:ascii="Calibri" w:eastAsia="Calibri" w:hAnsi="Calibri" w:cs="Calibri"/>
          <w:b/>
          <w:bCs/>
          <w:color w:val="0D3349"/>
          <w:sz w:val="27"/>
          <w:szCs w:val="27"/>
        </w:rPr>
        <w:t>organis</w:t>
      </w:r>
      <w:r w:rsidR="00E54E66">
        <w:rPr>
          <w:rFonts w:ascii="Calibri" w:eastAsia="Calibri" w:hAnsi="Calibri" w:cs="Calibri"/>
          <w:b/>
          <w:bCs/>
          <w:color w:val="0D3349"/>
          <w:sz w:val="27"/>
          <w:szCs w:val="27"/>
        </w:rPr>
        <w:t>é</w:t>
      </w:r>
      <w:r>
        <w:rPr>
          <w:rFonts w:ascii="Calibri" w:eastAsia="Calibri" w:hAnsi="Calibri" w:cs="Calibri"/>
          <w:b/>
          <w:bCs/>
          <w:color w:val="0D3349"/>
          <w:sz w:val="27"/>
          <w:szCs w:val="27"/>
        </w:rPr>
        <w:t xml:space="preserve"> </w:t>
      </w:r>
      <w:r w:rsidR="00E54E66">
        <w:rPr>
          <w:rFonts w:ascii="Calibri" w:eastAsia="Calibri" w:hAnsi="Calibri" w:cs="Calibri"/>
          <w:b/>
          <w:bCs/>
          <w:color w:val="0D3349"/>
          <w:sz w:val="27"/>
          <w:szCs w:val="27"/>
        </w:rPr>
        <w:t>une</w:t>
      </w:r>
      <w:r>
        <w:rPr>
          <w:rFonts w:ascii="Calibri" w:eastAsia="Calibri" w:hAnsi="Calibri" w:cs="Calibri"/>
          <w:b/>
          <w:bCs/>
          <w:color w:val="0D3349"/>
          <w:sz w:val="27"/>
          <w:szCs w:val="27"/>
        </w:rPr>
        <w:t xml:space="preserve"> formation </w:t>
      </w:r>
      <w:r w:rsidR="00E54E66">
        <w:rPr>
          <w:rFonts w:ascii="Calibri" w:eastAsia="Calibri" w:hAnsi="Calibri" w:cs="Calibri"/>
          <w:b/>
          <w:bCs/>
          <w:color w:val="0D3349"/>
          <w:sz w:val="27"/>
          <w:szCs w:val="27"/>
        </w:rPr>
        <w:t xml:space="preserve">avancée </w:t>
      </w:r>
      <w:r>
        <w:rPr>
          <w:rFonts w:ascii="Calibri" w:eastAsia="Calibri" w:hAnsi="Calibri" w:cs="Calibri"/>
          <w:b/>
          <w:bCs/>
          <w:color w:val="0D3349"/>
          <w:sz w:val="27"/>
          <w:szCs w:val="27"/>
        </w:rPr>
        <w:t>en Éthique de la Recherche Biomédicale</w:t>
      </w:r>
    </w:p>
    <w:p w:rsidR="00832322" w:rsidRDefault="00832322" w:rsidP="00832322">
      <w:pPr>
        <w:spacing w:before="80" w:after="160" w:line="276" w:lineRule="auto"/>
        <w:jc w:val="center"/>
      </w:pPr>
      <w:r>
        <w:rPr>
          <w:rFonts w:ascii="Calibri" w:eastAsia="Calibri" w:hAnsi="Calibri" w:cs="Calibri"/>
          <w:i/>
          <w:iCs/>
          <w:color w:val="1A5276"/>
          <w:sz w:val="21"/>
          <w:szCs w:val="21"/>
        </w:rPr>
        <w:t>Une initiative fondatrice pour la gouvernance éthique et la protection des patients dans la recherche oncologique au Maroc</w:t>
      </w:r>
    </w:p>
    <w:p w:rsidR="00BC5FA6" w:rsidRPr="00BC5FA6" w:rsidRDefault="00BC5FA6" w:rsidP="00BC5FA6">
      <w:pPr>
        <w:pStyle w:val="NormalWeb"/>
        <w:jc w:val="both"/>
        <w:rPr>
          <w:rFonts w:ascii="Franklin Gothic Book" w:hAnsi="Franklin Gothic Book"/>
        </w:rPr>
      </w:pPr>
      <w:r w:rsidRPr="00BC5FA6">
        <w:rPr>
          <w:rFonts w:ascii="Franklin Gothic Book" w:hAnsi="Franklin Gothic Book"/>
          <w:b/>
          <w:bCs/>
        </w:rPr>
        <w:t>FÈS</w:t>
      </w:r>
      <w:r w:rsidRPr="00BC5FA6">
        <w:rPr>
          <w:rFonts w:ascii="Franklin Gothic Book" w:hAnsi="Franklin Gothic Book"/>
        </w:rPr>
        <w:t xml:space="preserve"> — Du 28 septembre au 2 octobre 2026, l'Institut de Recherche sur le Cancer (IRC), à travers le CERO, a organisé </w:t>
      </w:r>
      <w:r w:rsidRPr="00BE0F58">
        <w:rPr>
          <w:rFonts w:ascii="Franklin Gothic Book" w:hAnsi="Franklin Gothic Book"/>
          <w:b/>
          <w:bCs/>
        </w:rPr>
        <w:t>la première formation nationale intensive en éthique de la recherche biomédicale</w:t>
      </w:r>
      <w:r w:rsidRPr="00BC5FA6">
        <w:rPr>
          <w:rFonts w:ascii="Franklin Gothic Book" w:hAnsi="Franklin Gothic Book"/>
        </w:rPr>
        <w:t xml:space="preserve"> dédiée aux membres des Comités d'Éthique de la Recherche (CER) ainsi qu'aux instances administratives nationales impliquées dans la recherche scientifique. D'une durée de 5 jours et dispensée en format hybride présentiel-</w:t>
      </w:r>
      <w:proofErr w:type="spellStart"/>
      <w:r w:rsidRPr="00BC5FA6">
        <w:rPr>
          <w:rFonts w:ascii="Franklin Gothic Book" w:hAnsi="Franklin Gothic Book"/>
        </w:rPr>
        <w:t>distanciel</w:t>
      </w:r>
      <w:proofErr w:type="spellEnd"/>
      <w:r w:rsidRPr="00BC5FA6">
        <w:rPr>
          <w:rFonts w:ascii="Franklin Gothic Book" w:hAnsi="Franklin Gothic Book"/>
        </w:rPr>
        <w:t>, cette session a réuni 19 participants issus d'établissements universitaires, hospitaliers et d'organismes de santé publique à travers le Royaume.</w:t>
      </w:r>
    </w:p>
    <w:p w:rsidR="00BC5FA6" w:rsidRPr="00BC5FA6" w:rsidRDefault="00BC5FA6" w:rsidP="00BC5FA6">
      <w:pPr>
        <w:pStyle w:val="NormalWeb"/>
        <w:jc w:val="both"/>
        <w:rPr>
          <w:rFonts w:ascii="Franklin Gothic Book" w:hAnsi="Franklin Gothic Book"/>
        </w:rPr>
      </w:pPr>
      <w:r w:rsidRPr="00BC5FA6">
        <w:rPr>
          <w:rFonts w:ascii="Franklin Gothic Book" w:hAnsi="Franklin Gothic Book"/>
        </w:rPr>
        <w:t>Ce groupe multidisciplinaire — réunissant enseignants-chercheurs, médecins spécialistes, pharmaciens, juristes en droit de la santé et épidémiologistes — comptait notamment des représentants de l'Agence Marocaine des Médicaments et des Produits de Santé (AMMPS), de la Direction de l'Épidémiologie et de la Lutte contre les Maladies (DELM), ainsi que des différents CHU et facultés de médecine du pays, tous membres actifs ou désignés de CER marocains.</w:t>
      </w:r>
    </w:p>
    <w:p w:rsidR="00BC5FA6" w:rsidRPr="00BC5FA6" w:rsidRDefault="00BC5FA6" w:rsidP="0095493A">
      <w:pPr>
        <w:pStyle w:val="NormalWeb"/>
        <w:jc w:val="both"/>
        <w:rPr>
          <w:rFonts w:ascii="Franklin Gothic Book" w:hAnsi="Franklin Gothic Book"/>
        </w:rPr>
      </w:pPr>
      <w:r w:rsidRPr="00BC5FA6">
        <w:rPr>
          <w:rFonts w:ascii="Franklin Gothic Book" w:hAnsi="Franklin Gothic Book"/>
        </w:rPr>
        <w:t>Animée par un corps enseignant d'excellence composé de dix professeurs et experts de rang national</w:t>
      </w:r>
      <w:bookmarkStart w:id="0" w:name="_GoBack"/>
      <w:bookmarkEnd w:id="0"/>
      <w:r w:rsidRPr="00BC5FA6">
        <w:rPr>
          <w:rFonts w:ascii="Franklin Gothic Book" w:hAnsi="Franklin Gothic Book"/>
        </w:rPr>
        <w:t>, la formation a couvert les thèmes les plus déterminants de l'éthique contemporaine de la recherche :</w:t>
      </w:r>
    </w:p>
    <w:p w:rsidR="00BC5FA6" w:rsidRPr="00BC5FA6" w:rsidRDefault="00BC5FA6" w:rsidP="00BC5FA6">
      <w:pPr>
        <w:pStyle w:val="NormalWeb"/>
        <w:numPr>
          <w:ilvl w:val="0"/>
          <w:numId w:val="2"/>
        </w:numPr>
        <w:jc w:val="both"/>
        <w:rPr>
          <w:rFonts w:ascii="Franklin Gothic Book" w:hAnsi="Franklin Gothic Book"/>
        </w:rPr>
      </w:pPr>
      <w:r w:rsidRPr="00BC5FA6">
        <w:rPr>
          <w:rFonts w:ascii="Franklin Gothic Book" w:hAnsi="Franklin Gothic Book"/>
          <w:b/>
          <w:bCs/>
        </w:rPr>
        <w:t>Le consentement éclairé</w:t>
      </w:r>
      <w:r w:rsidRPr="00BC5FA6">
        <w:rPr>
          <w:rFonts w:ascii="Franklin Gothic Book" w:hAnsi="Franklin Gothic Book"/>
        </w:rPr>
        <w:t xml:space="preserve"> adapté aux contextes locaux (dialectes, populations vulnérables) ;</w:t>
      </w:r>
    </w:p>
    <w:p w:rsidR="00BC5FA6" w:rsidRPr="00BC5FA6" w:rsidRDefault="00BC5FA6" w:rsidP="00BC5FA6">
      <w:pPr>
        <w:pStyle w:val="NormalWeb"/>
        <w:numPr>
          <w:ilvl w:val="0"/>
          <w:numId w:val="2"/>
        </w:numPr>
        <w:jc w:val="both"/>
        <w:rPr>
          <w:rFonts w:ascii="Franklin Gothic Book" w:hAnsi="Franklin Gothic Book"/>
        </w:rPr>
      </w:pPr>
      <w:r w:rsidRPr="00BC5FA6">
        <w:rPr>
          <w:rFonts w:ascii="Franklin Gothic Book" w:hAnsi="Franklin Gothic Book"/>
          <w:b/>
          <w:bCs/>
        </w:rPr>
        <w:t>L'évaluation du rapport bénéfice–risque</w:t>
      </w:r>
      <w:r w:rsidRPr="00BC5FA6">
        <w:rPr>
          <w:rFonts w:ascii="Franklin Gothic Book" w:hAnsi="Franklin Gothic Book"/>
        </w:rPr>
        <w:t xml:space="preserve"> selon les principes de la Déclaration d'Helsinki, les Directives du CIOMS et le Rapport Belmont ;</w:t>
      </w:r>
    </w:p>
    <w:p w:rsidR="00BC5FA6" w:rsidRPr="00BC5FA6" w:rsidRDefault="00BC5FA6" w:rsidP="00BC5FA6">
      <w:pPr>
        <w:pStyle w:val="NormalWeb"/>
        <w:numPr>
          <w:ilvl w:val="0"/>
          <w:numId w:val="2"/>
        </w:numPr>
        <w:jc w:val="both"/>
        <w:rPr>
          <w:rFonts w:ascii="Franklin Gothic Book" w:hAnsi="Franklin Gothic Book"/>
        </w:rPr>
      </w:pPr>
      <w:r w:rsidRPr="00BC5FA6">
        <w:rPr>
          <w:rFonts w:ascii="Franklin Gothic Book" w:hAnsi="Franklin Gothic Book"/>
          <w:b/>
          <w:bCs/>
        </w:rPr>
        <w:t>La gouvernance des CER</w:t>
      </w:r>
      <w:r w:rsidRPr="00BC5FA6">
        <w:rPr>
          <w:rFonts w:ascii="Franklin Gothic Book" w:hAnsi="Franklin Gothic Book"/>
        </w:rPr>
        <w:t xml:space="preserve"> selon les standards de l'OMS et la norme ICH-GCP E6(R2) ;</w:t>
      </w:r>
    </w:p>
    <w:p w:rsidR="00BC5FA6" w:rsidRPr="00BC5FA6" w:rsidRDefault="00BC5FA6" w:rsidP="00BC5FA6">
      <w:pPr>
        <w:pStyle w:val="NormalWeb"/>
        <w:numPr>
          <w:ilvl w:val="0"/>
          <w:numId w:val="2"/>
        </w:numPr>
        <w:jc w:val="both"/>
        <w:rPr>
          <w:rFonts w:ascii="Franklin Gothic Book" w:hAnsi="Franklin Gothic Book"/>
        </w:rPr>
      </w:pPr>
      <w:r w:rsidRPr="00BC5FA6">
        <w:rPr>
          <w:rFonts w:ascii="Franklin Gothic Book" w:hAnsi="Franklin Gothic Book"/>
          <w:b/>
          <w:bCs/>
        </w:rPr>
        <w:t xml:space="preserve">La protection des données et des </w:t>
      </w:r>
      <w:proofErr w:type="spellStart"/>
      <w:r w:rsidRPr="00BC5FA6">
        <w:rPr>
          <w:rFonts w:ascii="Franklin Gothic Book" w:hAnsi="Franklin Gothic Book"/>
          <w:b/>
          <w:bCs/>
        </w:rPr>
        <w:t>biobanques</w:t>
      </w:r>
      <w:proofErr w:type="spellEnd"/>
      <w:r w:rsidRPr="00BC5FA6">
        <w:rPr>
          <w:rFonts w:ascii="Franklin Gothic Book" w:hAnsi="Franklin Gothic Book"/>
        </w:rPr>
        <w:t xml:space="preserve"> conformément à la Loi 08-09 ;</w:t>
      </w:r>
    </w:p>
    <w:p w:rsidR="00BC5FA6" w:rsidRPr="00BC5FA6" w:rsidRDefault="00BC5FA6" w:rsidP="00BC5FA6">
      <w:pPr>
        <w:pStyle w:val="NormalWeb"/>
        <w:numPr>
          <w:ilvl w:val="0"/>
          <w:numId w:val="2"/>
        </w:numPr>
        <w:jc w:val="both"/>
        <w:rPr>
          <w:rFonts w:ascii="Franklin Gothic Book" w:hAnsi="Franklin Gothic Book"/>
        </w:rPr>
      </w:pPr>
      <w:r w:rsidRPr="00BC5FA6">
        <w:rPr>
          <w:rFonts w:ascii="Franklin Gothic Book" w:hAnsi="Franklin Gothic Book"/>
          <w:b/>
          <w:bCs/>
        </w:rPr>
        <w:t>Les enjeux de l'Intelligence Artificielle</w:t>
      </w:r>
      <w:r w:rsidRPr="00BC5FA6">
        <w:rPr>
          <w:rFonts w:ascii="Franklin Gothic Book" w:hAnsi="Franklin Gothic Book"/>
        </w:rPr>
        <w:t xml:space="preserve"> en recherche biomédicale ;</w:t>
      </w:r>
    </w:p>
    <w:p w:rsidR="00BC5FA6" w:rsidRPr="00BC5FA6" w:rsidRDefault="00BC5FA6" w:rsidP="00BC5FA6">
      <w:pPr>
        <w:pStyle w:val="NormalWeb"/>
        <w:numPr>
          <w:ilvl w:val="0"/>
          <w:numId w:val="2"/>
        </w:numPr>
        <w:jc w:val="both"/>
        <w:rPr>
          <w:rFonts w:ascii="Franklin Gothic Book" w:hAnsi="Franklin Gothic Book"/>
        </w:rPr>
      </w:pPr>
      <w:r w:rsidRPr="00BC5FA6">
        <w:rPr>
          <w:rFonts w:ascii="Franklin Gothic Book" w:hAnsi="Franklin Gothic Book"/>
          <w:b/>
          <w:bCs/>
        </w:rPr>
        <w:t>La maîtrise approfondie du cadre réglementaire marocain</w:t>
      </w:r>
      <w:r w:rsidRPr="00BC5FA6">
        <w:rPr>
          <w:rFonts w:ascii="Franklin Gothic Book" w:hAnsi="Franklin Gothic Book"/>
        </w:rPr>
        <w:t>, de la Loi 28-13 à la Décision n° 54 du 14 mars 2022, jusqu'aux derniers décrets d'application promulgués en 2026.</w:t>
      </w:r>
    </w:p>
    <w:p w:rsidR="00BC5FA6" w:rsidRDefault="00BC5FA6" w:rsidP="00BC5FA6">
      <w:pPr>
        <w:pStyle w:val="NormalWeb"/>
        <w:jc w:val="both"/>
      </w:pPr>
      <w:r w:rsidRPr="00BC5FA6">
        <w:rPr>
          <w:rFonts w:ascii="Franklin Gothic Book" w:hAnsi="Franklin Gothic Book"/>
        </w:rPr>
        <w:t>Cette initiative contribue directement à accélérer le traitement des dossiers de recherche soumis aux CER, en dotant leurs membres d'outils d'évaluation harmonisés et d'une connaissance précise des délais réglementaires. Elle renforce la protection des patients et des participants aux essais cliniques — notamment en oncologie — ainsi que la sécurité juridique des investigateurs principaux. À l'échelle nationale, elle positionne l'IRC-CERO comme centre de référence pour la formation continue en éthique de la recherche, et contribue à hisser le Maroc au niveau des standards internationaux requis pour</w:t>
      </w:r>
      <w:r>
        <w:t xml:space="preserve"> l'accueil d'essais cliniques multicentriques.</w:t>
      </w: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79"/>
      </w:tblGrid>
      <w:tr w:rsidR="00832322" w:rsidTr="004E42C3">
        <w:trPr>
          <w:trHeight w:val="1291"/>
        </w:trPr>
        <w:tc>
          <w:tcPr>
            <w:tcW w:w="10179" w:type="dxa"/>
            <w:shd w:val="clear" w:color="auto" w:fill="EBF5FB"/>
            <w:tcMar>
              <w:top w:w="80" w:type="dxa"/>
              <w:left w:w="140" w:type="dxa"/>
              <w:bottom w:w="80" w:type="dxa"/>
              <w:right w:w="140" w:type="dxa"/>
            </w:tcMar>
          </w:tcPr>
          <w:p w:rsidR="00832322" w:rsidRDefault="00832322" w:rsidP="00492869">
            <w:pPr>
              <w:spacing w:before="100" w:after="40" w:line="276" w:lineRule="auto"/>
              <w:jc w:val="center"/>
            </w:pPr>
            <w:r>
              <w:rPr>
                <w:rFonts w:ascii="Calibri" w:eastAsia="Calibri" w:hAnsi="Calibri" w:cs="Calibri"/>
                <w:i/>
                <w:iCs/>
                <w:color w:val="0D3349"/>
              </w:rPr>
              <w:t>« Cette formation marque une étape fondatrice pour la gouvernance éthique de la recherche au Maroc. En renforçant les compétences des membres des CER selon les plus hauts standards internationaux et dans le respect du droit marocain le plus récent, nous contribuons à bâtir un écosystème de recherche fiable, équitable et protecteur — pour les patients, pour les chercheurs et pour notre pays. »</w:t>
            </w:r>
          </w:p>
        </w:tc>
      </w:tr>
    </w:tbl>
    <w:p w:rsidR="003429C0" w:rsidRPr="00832322" w:rsidRDefault="00832322" w:rsidP="004E42C3">
      <w:pPr>
        <w:spacing w:before="80" w:after="80" w:line="276" w:lineRule="auto"/>
      </w:pPr>
      <w:r>
        <w:rPr>
          <w:rFonts w:ascii="Calibri" w:eastAsia="Calibri" w:hAnsi="Calibri" w:cs="Calibri"/>
          <w:b/>
          <w:bCs/>
          <w:color w:val="0D3349"/>
          <w:sz w:val="21"/>
          <w:szCs w:val="21"/>
        </w:rPr>
        <w:t>Contact presse :</w:t>
      </w:r>
      <w:r>
        <w:rPr>
          <w:rFonts w:ascii="Calibri" w:eastAsia="Calibri" w:hAnsi="Calibri" w:cs="Calibri"/>
          <w:color w:val="000000"/>
          <w:sz w:val="21"/>
          <w:szCs w:val="21"/>
        </w:rPr>
        <w:t xml:space="preserve"> CERO, Institut de Recherche sur le Cancer   |   </w:t>
      </w:r>
      <w:r>
        <w:rPr>
          <w:rFonts w:ascii="Calibri" w:eastAsia="Calibri" w:hAnsi="Calibri" w:cs="Calibri"/>
          <w:color w:val="1A5276"/>
          <w:sz w:val="21"/>
          <w:szCs w:val="21"/>
        </w:rPr>
        <w:t>cero@irc.ma</w:t>
      </w:r>
      <w:r>
        <w:rPr>
          <w:rFonts w:ascii="Calibri" w:eastAsia="Calibri" w:hAnsi="Calibri" w:cs="Calibri"/>
          <w:color w:val="000000"/>
          <w:sz w:val="21"/>
          <w:szCs w:val="21"/>
        </w:rPr>
        <w:t xml:space="preserve">   | </w:t>
      </w:r>
    </w:p>
    <w:sectPr w:rsidR="003429C0" w:rsidRPr="00832322" w:rsidSect="004E42C3">
      <w:headerReference w:type="default" r:id="rId7"/>
      <w:pgSz w:w="11906" w:h="16838"/>
      <w:pgMar w:top="1560" w:right="991" w:bottom="0" w:left="851" w:header="284"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83B" w:rsidRDefault="000E083B" w:rsidP="00555A7D">
      <w:r>
        <w:separator/>
      </w:r>
    </w:p>
  </w:endnote>
  <w:endnote w:type="continuationSeparator" w:id="0">
    <w:p w:rsidR="000E083B" w:rsidRDefault="000E083B" w:rsidP="00555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83B" w:rsidRDefault="000E083B" w:rsidP="00555A7D">
      <w:r>
        <w:separator/>
      </w:r>
    </w:p>
  </w:footnote>
  <w:footnote w:type="continuationSeparator" w:id="0">
    <w:p w:rsidR="000E083B" w:rsidRDefault="000E083B" w:rsidP="00555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7D" w:rsidRDefault="00555A7D">
    <w:pPr>
      <w:pStyle w:val="En-tte"/>
    </w:pPr>
    <w:r>
      <w:rPr>
        <w:noProof/>
      </w:rPr>
      <w:drawing>
        <wp:inline distT="0" distB="0" distL="0" distR="0" wp14:anchorId="49CEA251" wp14:editId="1735CC07">
          <wp:extent cx="898525" cy="664516"/>
          <wp:effectExtent l="0" t="0" r="0" b="2540"/>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rog1.png"/>
                  <pic:cNvPicPr/>
                </pic:nvPicPr>
                <pic:blipFill>
                  <a:blip r:embed="rId1"/>
                  <a:stretch>
                    <a:fillRect/>
                  </a:stretch>
                </pic:blipFill>
                <pic:spPr>
                  <a:xfrm>
                    <a:off x="0" y="0"/>
                    <a:ext cx="907196" cy="670929"/>
                  </a:xfrm>
                  <a:prstGeom prst="rect">
                    <a:avLst/>
                  </a:prstGeom>
                </pic:spPr>
              </pic:pic>
            </a:graphicData>
          </a:graphic>
        </wp:inline>
      </w:drawing>
    </w:r>
    <w:r>
      <w:tab/>
    </w:r>
    <w:r>
      <w:tab/>
    </w:r>
    <w:r>
      <w:rPr>
        <w:noProof/>
      </w:rPr>
      <w:drawing>
        <wp:inline distT="0" distB="0" distL="0" distR="0" wp14:anchorId="005B5BF4" wp14:editId="4BE357E9">
          <wp:extent cx="942975" cy="647245"/>
          <wp:effectExtent l="0" t="0" r="0" b="635"/>
          <wp:docPr id="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rog2.png"/>
                  <pic:cNvPicPr/>
                </pic:nvPicPr>
                <pic:blipFill>
                  <a:blip r:embed="rId2"/>
                  <a:stretch>
                    <a:fillRect/>
                  </a:stretch>
                </pic:blipFill>
                <pic:spPr>
                  <a:xfrm>
                    <a:off x="0" y="0"/>
                    <a:ext cx="950463" cy="65238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47176"/>
    <w:multiLevelType w:val="multilevel"/>
    <w:tmpl w:val="060A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643937"/>
    <w:multiLevelType w:val="hybridMultilevel"/>
    <w:tmpl w:val="5AD0567C"/>
    <w:lvl w:ilvl="0" w:tplc="32987376">
      <w:start w:val="1"/>
      <w:numFmt w:val="bullet"/>
      <w:lvlText w:val="●"/>
      <w:lvlJc w:val="left"/>
      <w:pPr>
        <w:ind w:left="720" w:hanging="360"/>
      </w:pPr>
    </w:lvl>
    <w:lvl w:ilvl="1" w:tplc="EEB2AA30">
      <w:start w:val="1"/>
      <w:numFmt w:val="bullet"/>
      <w:lvlText w:val="○"/>
      <w:lvlJc w:val="left"/>
      <w:pPr>
        <w:ind w:left="1440" w:hanging="360"/>
      </w:pPr>
    </w:lvl>
    <w:lvl w:ilvl="2" w:tplc="84124FF8">
      <w:start w:val="1"/>
      <w:numFmt w:val="bullet"/>
      <w:lvlText w:val="■"/>
      <w:lvlJc w:val="left"/>
      <w:pPr>
        <w:ind w:left="2160" w:hanging="360"/>
      </w:pPr>
    </w:lvl>
    <w:lvl w:ilvl="3" w:tplc="5AE6BE2A">
      <w:start w:val="1"/>
      <w:numFmt w:val="bullet"/>
      <w:lvlText w:val="●"/>
      <w:lvlJc w:val="left"/>
      <w:pPr>
        <w:ind w:left="2880" w:hanging="360"/>
      </w:pPr>
    </w:lvl>
    <w:lvl w:ilvl="4" w:tplc="C4DEFA9A">
      <w:start w:val="1"/>
      <w:numFmt w:val="bullet"/>
      <w:lvlText w:val="○"/>
      <w:lvlJc w:val="left"/>
      <w:pPr>
        <w:ind w:left="3600" w:hanging="360"/>
      </w:pPr>
    </w:lvl>
    <w:lvl w:ilvl="5" w:tplc="8716F7D4">
      <w:start w:val="1"/>
      <w:numFmt w:val="bullet"/>
      <w:lvlText w:val="■"/>
      <w:lvlJc w:val="left"/>
      <w:pPr>
        <w:ind w:left="4320" w:hanging="360"/>
      </w:pPr>
    </w:lvl>
    <w:lvl w:ilvl="6" w:tplc="1DB4CA7C">
      <w:start w:val="1"/>
      <w:numFmt w:val="bullet"/>
      <w:lvlText w:val="●"/>
      <w:lvlJc w:val="left"/>
      <w:pPr>
        <w:ind w:left="5040" w:hanging="360"/>
      </w:pPr>
    </w:lvl>
    <w:lvl w:ilvl="7" w:tplc="959C1B2C">
      <w:start w:val="1"/>
      <w:numFmt w:val="bullet"/>
      <w:lvlText w:val="●"/>
      <w:lvlJc w:val="left"/>
      <w:pPr>
        <w:ind w:left="5760" w:hanging="360"/>
      </w:pPr>
    </w:lvl>
    <w:lvl w:ilvl="8" w:tplc="D4321AD2">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9C0"/>
    <w:rsid w:val="000258BC"/>
    <w:rsid w:val="000E083B"/>
    <w:rsid w:val="002E578C"/>
    <w:rsid w:val="003104E7"/>
    <w:rsid w:val="003429C0"/>
    <w:rsid w:val="00492869"/>
    <w:rsid w:val="004E42C3"/>
    <w:rsid w:val="00555A7D"/>
    <w:rsid w:val="00832322"/>
    <w:rsid w:val="0095493A"/>
    <w:rsid w:val="00BC5FA6"/>
    <w:rsid w:val="00BE0F58"/>
    <w:rsid w:val="00E12E43"/>
    <w:rsid w:val="00E54E66"/>
    <w:rsid w:val="00ED06E6"/>
    <w:rsid w:val="00FA5D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979CB5-C5D3-4CAA-B8BE-AA8F60B7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555A7D"/>
    <w:pPr>
      <w:tabs>
        <w:tab w:val="center" w:pos="4536"/>
        <w:tab w:val="right" w:pos="9072"/>
      </w:tabs>
    </w:pPr>
  </w:style>
  <w:style w:type="character" w:customStyle="1" w:styleId="En-tteCar">
    <w:name w:val="En-tête Car"/>
    <w:basedOn w:val="Policepardfaut"/>
    <w:link w:val="En-tte"/>
    <w:uiPriority w:val="99"/>
    <w:rsid w:val="00555A7D"/>
  </w:style>
  <w:style w:type="paragraph" w:styleId="Pieddepage">
    <w:name w:val="footer"/>
    <w:basedOn w:val="Normal"/>
    <w:link w:val="PieddepageCar"/>
    <w:uiPriority w:val="99"/>
    <w:unhideWhenUsed/>
    <w:rsid w:val="00555A7D"/>
    <w:pPr>
      <w:tabs>
        <w:tab w:val="center" w:pos="4536"/>
        <w:tab w:val="right" w:pos="9072"/>
      </w:tabs>
    </w:pPr>
  </w:style>
  <w:style w:type="character" w:customStyle="1" w:styleId="PieddepageCar">
    <w:name w:val="Pied de page Car"/>
    <w:basedOn w:val="Policepardfaut"/>
    <w:link w:val="Pieddepage"/>
    <w:uiPriority w:val="99"/>
    <w:rsid w:val="00555A7D"/>
  </w:style>
  <w:style w:type="paragraph" w:styleId="Textedebulles">
    <w:name w:val="Balloon Text"/>
    <w:basedOn w:val="Normal"/>
    <w:link w:val="TextedebullesCar"/>
    <w:uiPriority w:val="99"/>
    <w:semiHidden/>
    <w:unhideWhenUsed/>
    <w:rsid w:val="004E42C3"/>
    <w:rPr>
      <w:rFonts w:ascii="Segoe UI" w:hAnsi="Segoe UI" w:cs="Segoe UI"/>
      <w:sz w:val="18"/>
      <w:szCs w:val="18"/>
    </w:rPr>
  </w:style>
  <w:style w:type="character" w:customStyle="1" w:styleId="TextedebullesCar">
    <w:name w:val="Texte de bulles Car"/>
    <w:basedOn w:val="Policepardfaut"/>
    <w:link w:val="Textedebulles"/>
    <w:uiPriority w:val="99"/>
    <w:semiHidden/>
    <w:rsid w:val="004E42C3"/>
    <w:rPr>
      <w:rFonts w:ascii="Segoe UI" w:hAnsi="Segoe UI" w:cs="Segoe UI"/>
      <w:sz w:val="18"/>
      <w:szCs w:val="18"/>
    </w:rPr>
  </w:style>
  <w:style w:type="paragraph" w:styleId="NormalWeb">
    <w:name w:val="Normal (Web)"/>
    <w:basedOn w:val="Normal"/>
    <w:uiPriority w:val="99"/>
    <w:semiHidden/>
    <w:unhideWhenUsed/>
    <w:rsid w:val="00BC5FA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467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508</Words>
  <Characters>2798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cp:lastPrinted>2026-10-15T11:06:00Z</cp:lastPrinted>
  <dcterms:created xsi:type="dcterms:W3CDTF">2026-10-15T11:54:00Z</dcterms:created>
  <dcterms:modified xsi:type="dcterms:W3CDTF">2026-10-15T11:54:00Z</dcterms:modified>
</cp:coreProperties>
</file>